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8" w:rsidRPr="000D565F" w:rsidRDefault="000D565F" w:rsidP="00F275E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0D565F">
        <w:rPr>
          <w:rFonts w:ascii="Times New Roman" w:hAnsi="Times New Roman" w:cs="Times New Roman"/>
          <w:b/>
          <w:sz w:val="24"/>
          <w:szCs w:val="24"/>
        </w:rPr>
        <w:t xml:space="preserve">Eligibility Criteria  </w:t>
      </w:r>
    </w:p>
    <w:tbl>
      <w:tblPr>
        <w:tblStyle w:val="TableGrid"/>
        <w:tblW w:w="9810" w:type="dxa"/>
        <w:tblInd w:w="-176" w:type="dxa"/>
        <w:tblLook w:val="04A0"/>
      </w:tblPr>
      <w:tblGrid>
        <w:gridCol w:w="850"/>
        <w:gridCol w:w="8960"/>
      </w:tblGrid>
      <w:tr w:rsidR="000D565F" w:rsidRPr="000D565F" w:rsidTr="002C4361">
        <w:tc>
          <w:tcPr>
            <w:tcW w:w="850" w:type="dxa"/>
          </w:tcPr>
          <w:p w:rsidR="000D565F" w:rsidRPr="000D565F" w:rsidRDefault="000D565F" w:rsidP="0019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65F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0D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8960" w:type="dxa"/>
          </w:tcPr>
          <w:p w:rsidR="000D565F" w:rsidRPr="000D565F" w:rsidRDefault="000D565F" w:rsidP="00197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5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="000D565F" w:rsidRPr="000D565F" w:rsidTr="002C4361">
        <w:tc>
          <w:tcPr>
            <w:tcW w:w="850" w:type="dxa"/>
          </w:tcPr>
          <w:p w:rsidR="000D565F" w:rsidRPr="000D565F" w:rsidRDefault="000D565F" w:rsidP="0019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0" w:type="dxa"/>
          </w:tcPr>
          <w:p w:rsidR="000D565F" w:rsidRPr="000D565F" w:rsidRDefault="0025536F" w:rsidP="002C4361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Firm should have </w:t>
            </w:r>
            <w:r w:rsidR="002C436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experience of at least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="000D56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years 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in operation</w:t>
            </w:r>
            <w:r w:rsidR="000D56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0D565F" w:rsidRPr="000D565F" w:rsidTr="002C4361">
        <w:tc>
          <w:tcPr>
            <w:tcW w:w="850" w:type="dxa"/>
          </w:tcPr>
          <w:p w:rsidR="000D565F" w:rsidRPr="000D565F" w:rsidRDefault="000D565F" w:rsidP="0019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0" w:type="dxa"/>
          </w:tcPr>
          <w:p w:rsidR="000D565F" w:rsidRPr="000D565F" w:rsidRDefault="000D565F" w:rsidP="002C4361">
            <w:pPr>
              <w:pStyle w:val="TableParagraph"/>
              <w:ind w:right="3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Average Annual Turnover </w:t>
            </w:r>
            <w:r w:rsidR="00515319">
              <w:rPr>
                <w:rFonts w:ascii="Times New Roman" w:eastAsia="Cambria" w:hAnsi="Times New Roman" w:cs="Times New Roman"/>
                <w:sz w:val="24"/>
                <w:szCs w:val="24"/>
              </w:rPr>
              <w:t>of th</w:t>
            </w:r>
            <w:r w:rsidR="00BF55EE">
              <w:rPr>
                <w:rFonts w:ascii="Times New Roman" w:eastAsia="Cambria" w:hAnsi="Times New Roman" w:cs="Times New Roman"/>
                <w:sz w:val="24"/>
                <w:szCs w:val="24"/>
              </w:rPr>
              <w:t>e Firm should be more than Rs.100</w:t>
            </w:r>
            <w:r w:rsidR="0051531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319">
              <w:rPr>
                <w:rFonts w:ascii="Times New Roman" w:eastAsia="Cambria" w:hAnsi="Times New Roman" w:cs="Times New Roman"/>
                <w:sz w:val="24"/>
                <w:szCs w:val="24"/>
              </w:rPr>
              <w:t>Lakhs</w:t>
            </w:r>
            <w:proofErr w:type="spellEnd"/>
            <w:r w:rsidR="0051531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F55E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for the last 3 </w:t>
            </w:r>
            <w:r w:rsidR="002C436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FY </w:t>
            </w:r>
            <w:proofErr w:type="spellStart"/>
            <w:r w:rsidR="00BF55EE">
              <w:rPr>
                <w:rFonts w:ascii="Times New Roman" w:eastAsia="Cambria" w:hAnsi="Times New Roman" w:cs="Times New Roman"/>
                <w:sz w:val="24"/>
                <w:szCs w:val="24"/>
              </w:rPr>
              <w:t>i.e</w:t>
            </w:r>
            <w:proofErr w:type="spellEnd"/>
            <w:r w:rsidR="00BF55E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(FY 2019-20</w:t>
            </w:r>
            <w:proofErr w:type="gramStart"/>
            <w:r w:rsidR="00BF55EE">
              <w:rPr>
                <w:rFonts w:ascii="Times New Roman" w:eastAsia="Cambria" w:hAnsi="Times New Roman" w:cs="Times New Roman"/>
                <w:sz w:val="24"/>
                <w:szCs w:val="24"/>
              </w:rPr>
              <w:t>,2020</w:t>
            </w:r>
            <w:proofErr w:type="gramEnd"/>
            <w:r w:rsidR="00BF55EE">
              <w:rPr>
                <w:rFonts w:ascii="Times New Roman" w:eastAsia="Cambria" w:hAnsi="Times New Roman" w:cs="Times New Roman"/>
                <w:sz w:val="24"/>
                <w:szCs w:val="24"/>
              </w:rPr>
              <w:t>-21 and 2021-22</w:t>
            </w:r>
            <w:r w:rsidR="00515319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  <w:r w:rsidR="00BF55E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 Please attach supporting docs</w:t>
            </w:r>
            <w:r w:rsidR="002C436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0D565F" w:rsidRPr="000D565F" w:rsidTr="002C4361">
        <w:tc>
          <w:tcPr>
            <w:tcW w:w="850" w:type="dxa"/>
          </w:tcPr>
          <w:p w:rsidR="000D565F" w:rsidRPr="000D565F" w:rsidRDefault="000D565F" w:rsidP="0019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0" w:type="dxa"/>
          </w:tcPr>
          <w:p w:rsidR="000D565F" w:rsidRPr="000D565F" w:rsidRDefault="00537C6F" w:rsidP="00991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 should have experience of m</w:t>
            </w:r>
            <w:r w:rsidR="000D565F">
              <w:rPr>
                <w:rFonts w:ascii="Times New Roman" w:hAnsi="Times New Roman" w:cs="Times New Roman"/>
                <w:sz w:val="24"/>
                <w:szCs w:val="24"/>
              </w:rPr>
              <w:t>ore than 10</w:t>
            </w:r>
            <w:r w:rsidR="0099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5F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5F" w:rsidRPr="000D565F">
              <w:rPr>
                <w:rFonts w:ascii="Times New Roman" w:hAnsi="Times New Roman" w:cs="Times New Roman"/>
                <w:sz w:val="24"/>
                <w:szCs w:val="24"/>
              </w:rPr>
              <w:t xml:space="preserve">in the field of </w:t>
            </w:r>
            <w:r w:rsidR="00515319">
              <w:rPr>
                <w:rFonts w:ascii="Times New Roman" w:hAnsi="Times New Roman" w:cs="Times New Roman"/>
                <w:sz w:val="24"/>
                <w:szCs w:val="24"/>
              </w:rPr>
              <w:t>Statutory</w:t>
            </w:r>
            <w:r w:rsidR="00CA6537">
              <w:rPr>
                <w:rFonts w:ascii="Times New Roman" w:hAnsi="Times New Roman" w:cs="Times New Roman"/>
                <w:sz w:val="24"/>
                <w:szCs w:val="24"/>
              </w:rPr>
              <w:t xml:space="preserve"> audits</w:t>
            </w:r>
            <w:r w:rsidR="00515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565F" w:rsidRPr="000D565F">
              <w:rPr>
                <w:rFonts w:ascii="Times New Roman" w:hAnsi="Times New Roman" w:cs="Times New Roman"/>
                <w:sz w:val="24"/>
                <w:szCs w:val="24"/>
              </w:rPr>
              <w:t xml:space="preserve">Internal Audit, </w:t>
            </w:r>
            <w:r w:rsidR="009915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D565F" w:rsidRPr="000D565F">
              <w:rPr>
                <w:rFonts w:ascii="Times New Roman" w:hAnsi="Times New Roman" w:cs="Times New Roman"/>
                <w:sz w:val="24"/>
                <w:szCs w:val="24"/>
              </w:rPr>
              <w:t xml:space="preserve">evenue </w:t>
            </w:r>
            <w:r w:rsidR="009915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D565F" w:rsidRPr="000D565F">
              <w:rPr>
                <w:rFonts w:ascii="Times New Roman" w:hAnsi="Times New Roman" w:cs="Times New Roman"/>
                <w:sz w:val="24"/>
                <w:szCs w:val="24"/>
              </w:rPr>
              <w:t>udit, and Concurrent Audit will not be considere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and counted for this purpose) </w:t>
            </w:r>
            <w:r w:rsidR="000D565F" w:rsidRPr="000D565F">
              <w:rPr>
                <w:rFonts w:ascii="Times New Roman" w:hAnsi="Times New Roman" w:cs="Times New Roman"/>
                <w:sz w:val="24"/>
                <w:szCs w:val="24"/>
              </w:rPr>
              <w:t>allotted/assigned by any government regulatory authority/ Government organization in the area of verification of accounts/Verification of Banking Transaction/ legal or regulatory compliance.</w:t>
            </w:r>
          </w:p>
        </w:tc>
      </w:tr>
      <w:tr w:rsidR="000D565F" w:rsidRPr="000D565F" w:rsidTr="002C4361">
        <w:tc>
          <w:tcPr>
            <w:tcW w:w="850" w:type="dxa"/>
          </w:tcPr>
          <w:p w:rsidR="000D565F" w:rsidRPr="000D565F" w:rsidRDefault="0025536F" w:rsidP="0019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0" w:type="dxa"/>
          </w:tcPr>
          <w:p w:rsidR="000D565F" w:rsidRPr="000D565F" w:rsidRDefault="00D4220B" w:rsidP="009915A9">
            <w:pPr>
              <w:pStyle w:val="TableParagraph"/>
              <w:ind w:right="6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Firm should have at least </w:t>
            </w:r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Seven </w:t>
            </w:r>
            <w:r w:rsidR="00967DA8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Chartered Accountant</w:t>
            </w:r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 </w:t>
            </w:r>
            <w:r w:rsidR="00515319">
              <w:rPr>
                <w:rFonts w:ascii="Times New Roman" w:eastAsia="Cambria" w:hAnsi="Times New Roman" w:cs="Times New Roman"/>
                <w:sz w:val="24"/>
                <w:szCs w:val="24"/>
              </w:rPr>
              <w:t>Partners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having more than </w:t>
            </w:r>
            <w:r w:rsidR="009915A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9915A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year</w:t>
            </w:r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>s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post qualification experience </w:t>
            </w:r>
            <w:proofErr w:type="spellStart"/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withthe</w:t>
            </w:r>
            <w:proofErr w:type="spellEnd"/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Firm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and </w:t>
            </w:r>
            <w:r w:rsidR="0025536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at least two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Full time </w:t>
            </w:r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>Chartered Accountants 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mployees</w:t>
            </w:r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on its </w:t>
            </w:r>
            <w:proofErr w:type="spellStart"/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>role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lease</w:t>
            </w:r>
            <w:proofErr w:type="spellEnd"/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submit firm constitution </w:t>
            </w:r>
            <w:proofErr w:type="spellStart"/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certificate</w:t>
            </w:r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>and</w:t>
            </w:r>
            <w:proofErr w:type="spellEnd"/>
            <w:r w:rsidR="00967D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Firm Card issued by </w:t>
            </w:r>
            <w:r w:rsidR="000D565F" w:rsidRPr="000D565F">
              <w:rPr>
                <w:rFonts w:ascii="Times New Roman" w:eastAsia="Cambria" w:hAnsi="Times New Roman" w:cs="Times New Roman"/>
                <w:sz w:val="24"/>
                <w:szCs w:val="24"/>
              </w:rPr>
              <w:t>ICAI</w:t>
            </w:r>
            <w:r w:rsidR="000D56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515319" w:rsidRPr="000D565F" w:rsidTr="002C4361">
        <w:tc>
          <w:tcPr>
            <w:tcW w:w="850" w:type="dxa"/>
          </w:tcPr>
          <w:p w:rsidR="00515319" w:rsidRDefault="0025536F" w:rsidP="0019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0" w:type="dxa"/>
          </w:tcPr>
          <w:p w:rsidR="00515319" w:rsidRDefault="00D334F3" w:rsidP="00D334F3">
            <w:pPr>
              <w:pStyle w:val="TableParagraph"/>
              <w:ind w:right="17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Firm should have at least </w:t>
            </w:r>
            <w:r w:rsidR="00515319">
              <w:rPr>
                <w:rFonts w:ascii="Times New Roman" w:eastAsia="Cambria" w:hAnsi="Times New Roman" w:cs="Times New Roman"/>
                <w:sz w:val="24"/>
                <w:szCs w:val="24"/>
              </w:rPr>
              <w:t>two partners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="0025536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having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qualified the </w:t>
            </w:r>
            <w:r w:rsidR="00142BF4">
              <w:rPr>
                <w:rFonts w:ascii="Times New Roman" w:eastAsia="Cambria" w:hAnsi="Times New Roman" w:cs="Times New Roman"/>
                <w:sz w:val="24"/>
                <w:szCs w:val="24"/>
              </w:rPr>
              <w:t>Finance and Gov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ernment</w:t>
            </w:r>
            <w:r w:rsidR="00142B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Accounting Course </w:t>
            </w:r>
            <w:r w:rsidR="0025536F">
              <w:rPr>
                <w:rFonts w:ascii="Times New Roman" w:eastAsia="Cambria" w:hAnsi="Times New Roman" w:cs="Times New Roman"/>
                <w:sz w:val="24"/>
                <w:szCs w:val="24"/>
              </w:rPr>
              <w:t>of ICAI</w:t>
            </w:r>
            <w:bookmarkStart w:id="0" w:name="_GoBack"/>
            <w:bookmarkEnd w:id="0"/>
            <w:proofErr w:type="gramStart"/>
            <w:r w:rsidR="0025536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="00142BF4"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proofErr w:type="gramEnd"/>
            <w:r w:rsidR="00142BF4">
              <w:rPr>
                <w:rFonts w:ascii="Times New Roman" w:eastAsia="Cambria" w:hAnsi="Times New Roman" w:cs="Times New Roman"/>
                <w:sz w:val="24"/>
                <w:szCs w:val="24"/>
              </w:rPr>
              <w:t>Please Attach the Certificates.)</w:t>
            </w:r>
          </w:p>
        </w:tc>
      </w:tr>
      <w:tr w:rsidR="00F130B1" w:rsidRPr="000D565F" w:rsidTr="002C4361">
        <w:tc>
          <w:tcPr>
            <w:tcW w:w="850" w:type="dxa"/>
          </w:tcPr>
          <w:p w:rsidR="00F130B1" w:rsidRDefault="00F130B1" w:rsidP="0019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0" w:type="dxa"/>
          </w:tcPr>
          <w:p w:rsidR="00F130B1" w:rsidRDefault="00F130B1" w:rsidP="00F130B1">
            <w:pPr>
              <w:pStyle w:val="TableParagraph"/>
              <w:ind w:right="17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The firm should be empanelled with CAG – Please attach supporting docs</w:t>
            </w:r>
          </w:p>
        </w:tc>
      </w:tr>
      <w:tr w:rsidR="00F130B1" w:rsidRPr="000D565F" w:rsidTr="002C4361">
        <w:tc>
          <w:tcPr>
            <w:tcW w:w="850" w:type="dxa"/>
          </w:tcPr>
          <w:p w:rsidR="00F130B1" w:rsidRDefault="00F130B1" w:rsidP="00197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0" w:type="dxa"/>
          </w:tcPr>
          <w:p w:rsidR="00F130B1" w:rsidRDefault="00F130B1" w:rsidP="00F130B1">
            <w:pPr>
              <w:pStyle w:val="TableParagraph"/>
              <w:ind w:right="17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The firm should have a Register office in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Tricity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i.e. Chandigarh,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Panchkula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Mohali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only.</w:t>
            </w:r>
          </w:p>
        </w:tc>
      </w:tr>
    </w:tbl>
    <w:p w:rsidR="001C672A" w:rsidRDefault="001C672A" w:rsidP="00F130B1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1B" w:rsidRDefault="0019751B" w:rsidP="00F130B1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Scope of Work </w:t>
      </w:r>
    </w:p>
    <w:tbl>
      <w:tblPr>
        <w:tblStyle w:val="TableGrid"/>
        <w:tblW w:w="10207" w:type="dxa"/>
        <w:tblInd w:w="-176" w:type="dxa"/>
        <w:tblLook w:val="04A0"/>
      </w:tblPr>
      <w:tblGrid>
        <w:gridCol w:w="851"/>
        <w:gridCol w:w="9356"/>
      </w:tblGrid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Work Required 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Audited UC’s (</w:t>
            </w:r>
            <w:proofErr w:type="spellStart"/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Qtrly</w:t>
            </w:r>
            <w:proofErr w:type="spellEnd"/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.) to be sent to respective departments on whose behalf this society is executing/implementing various e-governance projects.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Daily Cash/Bank Book</w:t>
            </w:r>
            <w:r w:rsidR="00D623A2">
              <w:rPr>
                <w:rFonts w:ascii="Times New Roman" w:hAnsi="Times New Roman" w:cs="Times New Roman"/>
                <w:sz w:val="24"/>
                <w:szCs w:val="24"/>
              </w:rPr>
              <w:t xml:space="preserve">/ Reconciliation. 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Entries through journal Voucher.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Checking /security of entries made in the software (Tally).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Advance Tax.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Statutory Obligations – PF/ESI/TDS/GST etc.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Preparation of Balance Sheet for  the Year 2021-22 &amp; Year 2022-23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Filling of Income tax return for the above years.</w:t>
            </w:r>
          </w:p>
        </w:tc>
      </w:tr>
      <w:tr w:rsidR="00D97060" w:rsidRPr="00D623A2" w:rsidTr="001C672A">
        <w:tc>
          <w:tcPr>
            <w:tcW w:w="851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D97060" w:rsidRPr="00D623A2" w:rsidRDefault="00D97060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To deal with queries/notices/scrutiny Cases if any in the offices of concerned authorities</w:t>
            </w:r>
          </w:p>
        </w:tc>
      </w:tr>
      <w:tr w:rsidR="00D623A2" w:rsidRPr="00D623A2" w:rsidTr="001C672A">
        <w:tc>
          <w:tcPr>
            <w:tcW w:w="851" w:type="dxa"/>
          </w:tcPr>
          <w:p w:rsidR="00D623A2" w:rsidRPr="00D623A2" w:rsidRDefault="00D623A2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D623A2" w:rsidRPr="00D623A2" w:rsidRDefault="00D623A2" w:rsidP="00D6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 xml:space="preserve">All GST Monthly Returns i.e. GST TDS, GSTR1, </w:t>
            </w:r>
            <w:proofErr w:type="gramStart"/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GSTR2B</w:t>
            </w:r>
            <w:proofErr w:type="gramEnd"/>
            <w:r w:rsidR="0099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A2">
              <w:rPr>
                <w:rFonts w:ascii="Times New Roman" w:hAnsi="Times New Roman" w:cs="Times New Roman"/>
                <w:sz w:val="24"/>
                <w:szCs w:val="24"/>
              </w:rPr>
              <w:t>&amp; GSTR3B for the FY 2022-23.</w:t>
            </w:r>
          </w:p>
        </w:tc>
      </w:tr>
      <w:tr w:rsidR="00EA7BF6" w:rsidRPr="00D623A2" w:rsidTr="001C672A">
        <w:tc>
          <w:tcPr>
            <w:tcW w:w="851" w:type="dxa"/>
          </w:tcPr>
          <w:p w:rsidR="00EA7BF6" w:rsidRPr="00D623A2" w:rsidRDefault="00EA7BF6" w:rsidP="00D62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EA7BF6" w:rsidRPr="00D623A2" w:rsidRDefault="00EA7BF6" w:rsidP="00D6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Unaudited Quarterly Financial Statements for the FY 2022-23 within 15 days from the end of quarter.</w:t>
            </w:r>
          </w:p>
        </w:tc>
      </w:tr>
    </w:tbl>
    <w:p w:rsidR="00D97060" w:rsidRDefault="00D97060" w:rsidP="009915A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F6" w:rsidRDefault="00EA7BF6" w:rsidP="00F130B1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Bid</w:t>
      </w:r>
    </w:p>
    <w:tbl>
      <w:tblPr>
        <w:tblStyle w:val="TableGrid"/>
        <w:tblW w:w="9810" w:type="dxa"/>
        <w:tblInd w:w="-459" w:type="dxa"/>
        <w:tblLook w:val="04A0"/>
      </w:tblPr>
      <w:tblGrid>
        <w:gridCol w:w="851"/>
        <w:gridCol w:w="8959"/>
      </w:tblGrid>
      <w:tr w:rsidR="00EA7BF6" w:rsidRPr="00D623A2" w:rsidTr="009915A9">
        <w:tc>
          <w:tcPr>
            <w:tcW w:w="851" w:type="dxa"/>
          </w:tcPr>
          <w:p w:rsidR="00EA7BF6" w:rsidRPr="00D623A2" w:rsidRDefault="00EA7BF6" w:rsidP="0021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8959" w:type="dxa"/>
          </w:tcPr>
          <w:p w:rsidR="00EA7BF6" w:rsidRPr="00D623A2" w:rsidRDefault="00EA7BF6" w:rsidP="0021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</w:tr>
      <w:tr w:rsidR="00EA7BF6" w:rsidRPr="00D623A2" w:rsidTr="009915A9">
        <w:tc>
          <w:tcPr>
            <w:tcW w:w="851" w:type="dxa"/>
          </w:tcPr>
          <w:p w:rsidR="00EA7BF6" w:rsidRPr="00D623A2" w:rsidRDefault="00EA7BF6" w:rsidP="0021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EA7BF6" w:rsidRPr="00D623A2" w:rsidRDefault="00EA7BF6" w:rsidP="0021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Consolidated Fee</w:t>
            </w:r>
          </w:p>
        </w:tc>
      </w:tr>
      <w:tr w:rsidR="00EA7BF6" w:rsidRPr="00D623A2" w:rsidTr="009915A9">
        <w:tc>
          <w:tcPr>
            <w:tcW w:w="851" w:type="dxa"/>
          </w:tcPr>
          <w:p w:rsidR="00EA7BF6" w:rsidRPr="00D623A2" w:rsidRDefault="00EA7BF6" w:rsidP="0021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EA7BF6" w:rsidRDefault="00EA7BF6" w:rsidP="0021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GST</w:t>
            </w:r>
          </w:p>
        </w:tc>
      </w:tr>
      <w:tr w:rsidR="00EA7BF6" w:rsidRPr="00D623A2" w:rsidTr="009915A9">
        <w:tc>
          <w:tcPr>
            <w:tcW w:w="851" w:type="dxa"/>
          </w:tcPr>
          <w:p w:rsidR="00EA7BF6" w:rsidRDefault="00EA7BF6" w:rsidP="00214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59" w:type="dxa"/>
          </w:tcPr>
          <w:p w:rsidR="00EA7BF6" w:rsidRDefault="00EA7BF6" w:rsidP="0021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</w:t>
            </w:r>
          </w:p>
        </w:tc>
      </w:tr>
    </w:tbl>
    <w:p w:rsidR="00F130B1" w:rsidRDefault="00F130B1" w:rsidP="009915A9">
      <w:pPr>
        <w:spacing w:after="0" w:line="240" w:lineRule="auto"/>
        <w:ind w:left="-284" w:right="-563"/>
        <w:rPr>
          <w:rFonts w:ascii="Times New Roman" w:eastAsia="Times New Roman" w:hAnsi="Times New Roman" w:cs="Times New Roman"/>
          <w:sz w:val="24"/>
          <w:szCs w:val="24"/>
        </w:rPr>
      </w:pPr>
    </w:p>
    <w:p w:rsidR="001C672A" w:rsidRPr="001C672A" w:rsidRDefault="001C672A" w:rsidP="001C672A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2A">
        <w:rPr>
          <w:rFonts w:ascii="Times New Roman" w:hAnsi="Times New Roman" w:cs="Times New Roman"/>
          <w:b/>
          <w:sz w:val="24"/>
          <w:szCs w:val="24"/>
        </w:rPr>
        <w:lastRenderedPageBreak/>
        <w:t>General Terms &amp; Conditions</w:t>
      </w:r>
    </w:p>
    <w:tbl>
      <w:tblPr>
        <w:tblStyle w:val="TableGrid"/>
        <w:tblW w:w="9810" w:type="dxa"/>
        <w:tblInd w:w="-459" w:type="dxa"/>
        <w:tblLook w:val="04A0"/>
      </w:tblPr>
      <w:tblGrid>
        <w:gridCol w:w="851"/>
        <w:gridCol w:w="8959"/>
      </w:tblGrid>
      <w:tr w:rsidR="001C672A" w:rsidRPr="00D623A2" w:rsidTr="002B5F5C">
        <w:tc>
          <w:tcPr>
            <w:tcW w:w="851" w:type="dxa"/>
          </w:tcPr>
          <w:p w:rsidR="001C672A" w:rsidRPr="00D623A2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8959" w:type="dxa"/>
          </w:tcPr>
          <w:p w:rsidR="001C672A" w:rsidRPr="00D623A2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</w:tr>
      <w:tr w:rsidR="001C672A" w:rsidRPr="00D623A2" w:rsidTr="002B5F5C">
        <w:tc>
          <w:tcPr>
            <w:tcW w:w="851" w:type="dxa"/>
          </w:tcPr>
          <w:p w:rsidR="001C672A" w:rsidRPr="00D623A2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1B">
              <w:rPr>
                <w:rFonts w:ascii="Times New Roman" w:hAnsi="Times New Roman" w:cs="Times New Roman"/>
                <w:sz w:val="24"/>
                <w:szCs w:val="24"/>
              </w:rPr>
              <w:t>The Two envelopes viz. Technical Bid Cover and Financial Bid Cover prepared as above are to be kept in a single sealed cover super scribed with “Quote/Rates for Preparation of final Accounts of SPIC, Chandigarh”.</w:t>
            </w:r>
          </w:p>
          <w:p w:rsidR="001C672A" w:rsidRPr="00D623A2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2A" w:rsidTr="002B5F5C">
        <w:tc>
          <w:tcPr>
            <w:tcW w:w="851" w:type="dxa"/>
          </w:tcPr>
          <w:p w:rsidR="001C672A" w:rsidRPr="00D623A2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1B">
              <w:rPr>
                <w:rFonts w:ascii="Times New Roman" w:hAnsi="Times New Roman" w:cs="Times New Roman"/>
                <w:sz w:val="24"/>
                <w:szCs w:val="24"/>
              </w:rPr>
              <w:t>The name and address of the bidder shall be clearly written and no overwriting, correction, insertion shall be permitted.</w:t>
            </w:r>
          </w:p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2A" w:rsidTr="002B5F5C">
        <w:tc>
          <w:tcPr>
            <w:tcW w:w="851" w:type="dxa"/>
          </w:tcPr>
          <w:p w:rsidR="001C672A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1B">
              <w:rPr>
                <w:rFonts w:ascii="Times New Roman" w:hAnsi="Times New Roman" w:cs="Times New Roman"/>
                <w:sz w:val="24"/>
                <w:szCs w:val="24"/>
              </w:rPr>
              <w:t>Person signing the bid must clearly write his/her name and also specify the capacity in which signing.</w:t>
            </w:r>
          </w:p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2A" w:rsidTr="002B5F5C">
        <w:tc>
          <w:tcPr>
            <w:tcW w:w="851" w:type="dxa"/>
          </w:tcPr>
          <w:p w:rsidR="001C672A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1B">
              <w:rPr>
                <w:rFonts w:ascii="Times New Roman" w:hAnsi="Times New Roman" w:cs="Times New Roman"/>
                <w:sz w:val="24"/>
                <w:szCs w:val="24"/>
              </w:rPr>
              <w:t>SPIC reserves the right to reject the bid without assigning any reason.</w:t>
            </w:r>
          </w:p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2A" w:rsidTr="002B5F5C">
        <w:tc>
          <w:tcPr>
            <w:tcW w:w="851" w:type="dxa"/>
          </w:tcPr>
          <w:p w:rsidR="001C672A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1B">
              <w:rPr>
                <w:rFonts w:ascii="Times New Roman" w:hAnsi="Times New Roman" w:cs="Times New Roman"/>
                <w:sz w:val="24"/>
                <w:szCs w:val="24"/>
              </w:rPr>
              <w:t>Before submitting the bid document to the SPIC, the bidders may seek clarifications, if any, from administrative department of SPIC on Tel 0172-2970450, 2970451 or in person by visiting the SPIC office in EDC Building during working hours between 9:30 am to 5:00 pm by taking prior appointment.</w:t>
            </w:r>
          </w:p>
        </w:tc>
      </w:tr>
      <w:tr w:rsidR="001C672A" w:rsidTr="002B5F5C">
        <w:tc>
          <w:tcPr>
            <w:tcW w:w="851" w:type="dxa"/>
          </w:tcPr>
          <w:p w:rsidR="001C672A" w:rsidRDefault="001C672A" w:rsidP="002B5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1B">
              <w:rPr>
                <w:rFonts w:ascii="Times New Roman" w:hAnsi="Times New Roman" w:cs="Times New Roman"/>
                <w:sz w:val="24"/>
                <w:szCs w:val="24"/>
              </w:rPr>
              <w:t>SPIC reserves the right to change any condition before opening of the bids.</w:t>
            </w:r>
          </w:p>
          <w:p w:rsidR="001C672A" w:rsidRPr="008C2A1B" w:rsidRDefault="001C672A" w:rsidP="008C2A1B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72A" w:rsidRDefault="001C672A" w:rsidP="009915A9">
      <w:pPr>
        <w:spacing w:after="0" w:line="240" w:lineRule="auto"/>
        <w:ind w:left="-284" w:right="-563"/>
        <w:rPr>
          <w:rFonts w:ascii="Times New Roman" w:eastAsia="Times New Roman" w:hAnsi="Times New Roman" w:cs="Times New Roman"/>
          <w:sz w:val="24"/>
          <w:szCs w:val="24"/>
        </w:rPr>
      </w:pPr>
    </w:p>
    <w:p w:rsidR="001C672A" w:rsidRPr="000D565F" w:rsidRDefault="001C672A">
      <w:pPr>
        <w:spacing w:after="0" w:line="240" w:lineRule="auto"/>
        <w:ind w:left="-284" w:right="-563"/>
        <w:rPr>
          <w:rFonts w:ascii="Times New Roman" w:hAnsi="Times New Roman" w:cs="Times New Roman"/>
          <w:b/>
          <w:sz w:val="24"/>
          <w:szCs w:val="24"/>
        </w:rPr>
      </w:pPr>
    </w:p>
    <w:sectPr w:rsidR="001C672A" w:rsidRPr="000D565F" w:rsidSect="00005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487"/>
    <w:multiLevelType w:val="multilevel"/>
    <w:tmpl w:val="A2622B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u w:val="none"/>
      </w:rPr>
    </w:lvl>
  </w:abstractNum>
  <w:abstractNum w:abstractNumId="1">
    <w:nsid w:val="27CA2111"/>
    <w:multiLevelType w:val="multilevel"/>
    <w:tmpl w:val="A2622B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u w:val="none"/>
      </w:rPr>
    </w:lvl>
  </w:abstractNum>
  <w:abstractNum w:abstractNumId="2">
    <w:nsid w:val="316C4B36"/>
    <w:multiLevelType w:val="hybridMultilevel"/>
    <w:tmpl w:val="178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34B1"/>
    <w:multiLevelType w:val="multilevel"/>
    <w:tmpl w:val="A2622B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u w:val="none"/>
      </w:rPr>
    </w:lvl>
  </w:abstractNum>
  <w:abstractNum w:abstractNumId="4">
    <w:nsid w:val="4FF23B89"/>
    <w:multiLevelType w:val="multilevel"/>
    <w:tmpl w:val="A2622B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565F"/>
    <w:rsid w:val="00005438"/>
    <w:rsid w:val="000D565F"/>
    <w:rsid w:val="00142BF4"/>
    <w:rsid w:val="0019751B"/>
    <w:rsid w:val="001C672A"/>
    <w:rsid w:val="0025536F"/>
    <w:rsid w:val="002C4361"/>
    <w:rsid w:val="0033476A"/>
    <w:rsid w:val="003A2553"/>
    <w:rsid w:val="00515319"/>
    <w:rsid w:val="00537C6F"/>
    <w:rsid w:val="0057405B"/>
    <w:rsid w:val="008004AB"/>
    <w:rsid w:val="008C2A1B"/>
    <w:rsid w:val="00967DA8"/>
    <w:rsid w:val="009915A9"/>
    <w:rsid w:val="00BF55EE"/>
    <w:rsid w:val="00C15F80"/>
    <w:rsid w:val="00C90D56"/>
    <w:rsid w:val="00CA6537"/>
    <w:rsid w:val="00D334F3"/>
    <w:rsid w:val="00D4220B"/>
    <w:rsid w:val="00D623A2"/>
    <w:rsid w:val="00D97060"/>
    <w:rsid w:val="00E76BA6"/>
    <w:rsid w:val="00EA7BF6"/>
    <w:rsid w:val="00F130B1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565F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ListParagraph">
    <w:name w:val="List Paragraph"/>
    <w:basedOn w:val="Normal"/>
    <w:uiPriority w:val="34"/>
    <w:qFormat/>
    <w:rsid w:val="00D97060"/>
    <w:pPr>
      <w:ind w:left="720"/>
      <w:contextualSpacing/>
    </w:pPr>
  </w:style>
  <w:style w:type="character" w:customStyle="1" w:styleId="markedcontent">
    <w:name w:val="markedcontent"/>
    <w:basedOn w:val="DefaultParagraphFont"/>
    <w:rsid w:val="00EA7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spic</cp:lastModifiedBy>
  <cp:revision>2</cp:revision>
  <dcterms:created xsi:type="dcterms:W3CDTF">2022-06-16T10:56:00Z</dcterms:created>
  <dcterms:modified xsi:type="dcterms:W3CDTF">2022-06-16T10:56:00Z</dcterms:modified>
</cp:coreProperties>
</file>